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2CC2" w14:textId="54860378" w:rsidR="0035186E" w:rsidRPr="006F6E66" w:rsidRDefault="00624EC8" w:rsidP="0035186E">
      <w:pPr>
        <w:ind w:left="360" w:hanging="360"/>
        <w:jc w:val="center"/>
        <w:rPr>
          <w:rFonts w:ascii="Times New Roman" w:hAnsi="Times New Roman" w:cs="Times New Roman"/>
          <w:b/>
          <w:sz w:val="24"/>
          <w:szCs w:val="24"/>
          <w:u w:val="single"/>
        </w:rPr>
      </w:pPr>
      <w:r>
        <w:rPr>
          <w:rFonts w:ascii="Times New Roman" w:hAnsi="Times New Roman" w:cs="Times New Roman"/>
          <w:b/>
          <w:sz w:val="24"/>
          <w:szCs w:val="24"/>
          <w:u w:val="single"/>
        </w:rPr>
        <w:t>May 15</w:t>
      </w:r>
      <w:r w:rsidR="0035186E" w:rsidRPr="006F6E66">
        <w:rPr>
          <w:rFonts w:ascii="Times New Roman" w:hAnsi="Times New Roman" w:cs="Times New Roman"/>
          <w:b/>
          <w:sz w:val="24"/>
          <w:szCs w:val="24"/>
          <w:u w:val="single"/>
        </w:rPr>
        <w:t>, 202</w:t>
      </w:r>
      <w:r w:rsidR="00560D6C">
        <w:rPr>
          <w:rFonts w:ascii="Times New Roman" w:hAnsi="Times New Roman" w:cs="Times New Roman"/>
          <w:b/>
          <w:sz w:val="24"/>
          <w:szCs w:val="24"/>
          <w:u w:val="single"/>
        </w:rPr>
        <w:t>6</w:t>
      </w:r>
      <w:r w:rsidR="003D0988">
        <w:rPr>
          <w:rFonts w:ascii="Times New Roman" w:hAnsi="Times New Roman" w:cs="Times New Roman"/>
          <w:b/>
          <w:sz w:val="24"/>
          <w:szCs w:val="24"/>
          <w:u w:val="single"/>
        </w:rPr>
        <w:t xml:space="preserve"> </w:t>
      </w:r>
      <w:r w:rsidR="0035186E" w:rsidRPr="006F6E66">
        <w:rPr>
          <w:rFonts w:ascii="Times New Roman" w:hAnsi="Times New Roman" w:cs="Times New Roman"/>
          <w:b/>
          <w:sz w:val="24"/>
          <w:szCs w:val="24"/>
          <w:u w:val="single"/>
        </w:rPr>
        <w:t xml:space="preserve">Case Management </w:t>
      </w:r>
      <w:r w:rsidR="003D0988">
        <w:rPr>
          <w:rFonts w:ascii="Times New Roman" w:hAnsi="Times New Roman" w:cs="Times New Roman"/>
          <w:b/>
          <w:sz w:val="24"/>
          <w:szCs w:val="24"/>
          <w:u w:val="single"/>
        </w:rPr>
        <w:t xml:space="preserve">Conference </w:t>
      </w:r>
      <w:r w:rsidR="0035186E" w:rsidRPr="006F6E66">
        <w:rPr>
          <w:rFonts w:ascii="Times New Roman" w:hAnsi="Times New Roman" w:cs="Times New Roman"/>
          <w:b/>
          <w:sz w:val="24"/>
          <w:szCs w:val="24"/>
          <w:u w:val="single"/>
        </w:rPr>
        <w:t>Tentative Rulings</w:t>
      </w:r>
    </w:p>
    <w:p w14:paraId="65D4D4E8" w14:textId="77777777" w:rsidR="00EF5217" w:rsidRDefault="00EF5217" w:rsidP="00C03F3E">
      <w:pPr>
        <w:pStyle w:val="paragraph"/>
        <w:spacing w:before="0" w:beforeAutospacing="0" w:after="0" w:afterAutospacing="0"/>
        <w:textAlignment w:val="baseline"/>
        <w:rPr>
          <w:b/>
        </w:rPr>
      </w:pPr>
    </w:p>
    <w:p w14:paraId="60453C65" w14:textId="6A52E3D7" w:rsidR="00947FF8" w:rsidRDefault="00624EC8" w:rsidP="00400007">
      <w:pPr>
        <w:pStyle w:val="paragraph"/>
        <w:numPr>
          <w:ilvl w:val="0"/>
          <w:numId w:val="4"/>
        </w:numPr>
        <w:spacing w:after="0"/>
        <w:textAlignment w:val="baseline"/>
      </w:pPr>
      <w:r w:rsidRPr="000B4AE0">
        <w:rPr>
          <w:b/>
        </w:rPr>
        <w:t>CL0003211</w:t>
      </w:r>
      <w:r w:rsidRPr="000B4AE0">
        <w:rPr>
          <w:b/>
        </w:rPr>
        <w:tab/>
        <w:t xml:space="preserve">LVNV Funding, LLC vs. Kathleen </w:t>
      </w:r>
      <w:proofErr w:type="spellStart"/>
      <w:r w:rsidRPr="000B4AE0">
        <w:rPr>
          <w:b/>
        </w:rPr>
        <w:t>Mumaw</w:t>
      </w:r>
      <w:proofErr w:type="spellEnd"/>
      <w:r>
        <w:br/>
      </w:r>
      <w:r w:rsidR="008654FB">
        <w:t>No appearances are required.  Th</w:t>
      </w:r>
      <w:r w:rsidR="0080625D">
        <w:t xml:space="preserve">e case </w:t>
      </w:r>
      <w:r w:rsidR="008654FB">
        <w:t xml:space="preserve">is </w:t>
      </w:r>
      <w:r w:rsidR="006946CE">
        <w:t>at issue.  Jury fees have not been posted.  The Court sets the matter</w:t>
      </w:r>
      <w:r w:rsidR="008654FB">
        <w:t xml:space="preserve"> for a court trial</w:t>
      </w:r>
      <w:r w:rsidR="00947FF8">
        <w:t xml:space="preserve"> as follows:</w:t>
      </w:r>
    </w:p>
    <w:p w14:paraId="5A4FACF1" w14:textId="41B77B75" w:rsidR="00947FF8" w:rsidRPr="00947FF8" w:rsidRDefault="007326C9" w:rsidP="007326C9">
      <w:pPr>
        <w:pStyle w:val="paragraph"/>
        <w:spacing w:after="0"/>
        <w:ind w:left="1800" w:firstLine="360"/>
        <w:textAlignment w:val="baseline"/>
        <w:rPr>
          <w:bCs/>
        </w:rPr>
      </w:pPr>
      <w:r w:rsidRPr="002D5395">
        <w:t xml:space="preserve">Trial:  </w:t>
      </w:r>
      <w:r>
        <w:t>July 17, 2027, 10:30 a.m.,</w:t>
      </w:r>
      <w:r w:rsidRPr="002D5395">
        <w:t xml:space="preserve"> Dept. A</w:t>
      </w:r>
    </w:p>
    <w:p w14:paraId="6D1C1135" w14:textId="77777777" w:rsidR="0080625D" w:rsidRDefault="0080625D" w:rsidP="00947FF8">
      <w:pPr>
        <w:pStyle w:val="paragraph"/>
        <w:spacing w:after="0"/>
        <w:ind w:left="360"/>
        <w:textAlignment w:val="baseline"/>
      </w:pPr>
      <w:r>
        <w:t xml:space="preserve">The Court Clerk shall serve notice of trial on the parties.  </w:t>
      </w:r>
    </w:p>
    <w:p w14:paraId="1FA62539" w14:textId="77777777" w:rsidR="0080625D" w:rsidRDefault="006946CE" w:rsidP="00947FF8">
      <w:pPr>
        <w:pStyle w:val="paragraph"/>
        <w:spacing w:after="0"/>
        <w:ind w:left="360"/>
        <w:textAlignment w:val="baseline"/>
      </w:pPr>
      <w:r>
        <w:t xml:space="preserve">Parties shall exchange witness and exhibit lists at least ten (10) days in advance of trial.  Any motions in </w:t>
      </w:r>
      <w:proofErr w:type="spellStart"/>
      <w:r>
        <w:t>limine</w:t>
      </w:r>
      <w:proofErr w:type="spellEnd"/>
      <w:r>
        <w:t xml:space="preserve"> shall be heard at the commencement of trial.  In the event a party has more than five (5) exhibits, that party shall contact the court clerk to arrange for a date and time to have the exhibits </w:t>
      </w:r>
      <w:proofErr w:type="spellStart"/>
      <w:r>
        <w:t>premarked</w:t>
      </w:r>
      <w:proofErr w:type="spellEnd"/>
      <w:r>
        <w:t xml:space="preserve">.  Any request for remote appearance by a witness shall be filed at least fifteen (15) days prior to trial with a copy of said notice to be served on the opposing party.  Any objection to remote appearance to be filed at least </w:t>
      </w:r>
      <w:r w:rsidR="00947FF8">
        <w:t xml:space="preserve">ten (10) days prior to trial.  Parties and counsel are to appear in person unless a stipulation and proposed order is filed at least fifteen (15) days prior to trial setting forth agreement for remote appearance.  </w:t>
      </w:r>
    </w:p>
    <w:p w14:paraId="1324B296" w14:textId="68CD1B88" w:rsidR="00624EC8" w:rsidRPr="00624EC8" w:rsidRDefault="00947FF8" w:rsidP="00947FF8">
      <w:pPr>
        <w:pStyle w:val="paragraph"/>
        <w:spacing w:after="0"/>
        <w:ind w:left="360"/>
        <w:textAlignment w:val="baseline"/>
      </w:pPr>
      <w:r>
        <w:t>Counsel for Plaintiff is admonished for not filing a CMC Statement, and the parties and counsel are directed to the Notice served on them on November 20, 2025</w:t>
      </w:r>
      <w:r w:rsidR="0080625D">
        <w:t xml:space="preserve"> indicating today’s appearance was for case management conference.</w:t>
      </w:r>
      <w:r w:rsidR="00624EC8">
        <w:br/>
      </w:r>
    </w:p>
    <w:p w14:paraId="1DAA4DB7" w14:textId="14427BB6" w:rsidR="00624EC8" w:rsidRPr="00624EC8" w:rsidRDefault="008654FB" w:rsidP="00400007">
      <w:pPr>
        <w:pStyle w:val="paragraph"/>
        <w:numPr>
          <w:ilvl w:val="0"/>
          <w:numId w:val="4"/>
        </w:numPr>
        <w:spacing w:after="0"/>
        <w:textAlignment w:val="baseline"/>
      </w:pPr>
      <w:r w:rsidRPr="000B4AE0">
        <w:rPr>
          <w:b/>
        </w:rPr>
        <w:t>CU0001178</w:t>
      </w:r>
      <w:r w:rsidRPr="000B4AE0">
        <w:rPr>
          <w:b/>
        </w:rPr>
        <w:tab/>
        <w:t>Gregory Ludlum vs. Joshua Terranova, Executor, et al.</w:t>
      </w:r>
      <w:r>
        <w:br/>
      </w:r>
      <w:r w:rsidRPr="008654FB">
        <w:t>No appearances are required.  Based on the representations of the parties</w:t>
      </w:r>
      <w:r w:rsidR="0080625D">
        <w:t xml:space="preserve"> as set forth in the Joint Status Report filed on April 30, 2026</w:t>
      </w:r>
      <w:r w:rsidRPr="008654FB">
        <w:t xml:space="preserve">, the Court continues the case management conference to </w:t>
      </w:r>
      <w:r>
        <w:t>August 21</w:t>
      </w:r>
      <w:r w:rsidRPr="008654FB">
        <w:t>, 2026 at 9:00 a.m., in Department A to permit</w:t>
      </w:r>
      <w:r w:rsidR="00B547F1">
        <w:t xml:space="preserve"> the parties</w:t>
      </w:r>
      <w:r w:rsidRPr="008654FB">
        <w:t xml:space="preserve"> additional time </w:t>
      </w:r>
      <w:r w:rsidR="00B547F1">
        <w:t>in their efforts to</w:t>
      </w:r>
      <w:r w:rsidRPr="008654FB">
        <w:t xml:space="preserve"> </w:t>
      </w:r>
      <w:r w:rsidR="00B547F1">
        <w:t>resolve the case</w:t>
      </w:r>
      <w:r w:rsidR="0080625D">
        <w:t>.  The parties are admonished, the Court intends to set trial and related dates at the next CMC, but appreciates</w:t>
      </w:r>
      <w:r w:rsidR="00B547F1">
        <w:t xml:space="preserve"> and encourages their settlement efforts.</w:t>
      </w:r>
      <w:r>
        <w:br/>
      </w:r>
    </w:p>
    <w:p w14:paraId="68A038A3" w14:textId="16F241E0" w:rsidR="00624EC8" w:rsidRPr="00624EC8" w:rsidRDefault="00B24B39" w:rsidP="00400007">
      <w:pPr>
        <w:pStyle w:val="paragraph"/>
        <w:numPr>
          <w:ilvl w:val="0"/>
          <w:numId w:val="4"/>
        </w:numPr>
        <w:spacing w:after="0"/>
        <w:textAlignment w:val="baseline"/>
      </w:pPr>
      <w:r w:rsidRPr="000B4AE0">
        <w:rPr>
          <w:b/>
        </w:rPr>
        <w:t>CU0001216</w:t>
      </w:r>
      <w:r w:rsidRPr="000B4AE0">
        <w:rPr>
          <w:b/>
        </w:rPr>
        <w:tab/>
        <w:t xml:space="preserve">Greg </w:t>
      </w:r>
      <w:proofErr w:type="spellStart"/>
      <w:r w:rsidRPr="000B4AE0">
        <w:rPr>
          <w:b/>
        </w:rPr>
        <w:t>Bomhoff</w:t>
      </w:r>
      <w:proofErr w:type="spellEnd"/>
      <w:r w:rsidRPr="000B4AE0">
        <w:rPr>
          <w:b/>
        </w:rPr>
        <w:t xml:space="preserve"> vs. Lake of the Pines Association, et al.</w:t>
      </w:r>
      <w:r>
        <w:br/>
      </w:r>
      <w:bookmarkStart w:id="0" w:name="_Hlk227057671"/>
      <w:r w:rsidRPr="00312B31">
        <w:t xml:space="preserve">No appearances are required.  On the Court’s motion, the case management conference is continued to </w:t>
      </w:r>
      <w:r>
        <w:t>July</w:t>
      </w:r>
      <w:r w:rsidRPr="00312B31">
        <w:t xml:space="preserve"> 17, 2026 at 9:00 a.m., in Department A to permit pending motions to be adjudicated.</w:t>
      </w:r>
      <w:bookmarkEnd w:id="0"/>
      <w:r>
        <w:br/>
      </w:r>
    </w:p>
    <w:p w14:paraId="3CDC4D7C" w14:textId="28A96C04" w:rsidR="00624EC8" w:rsidRPr="00624EC8" w:rsidRDefault="00B24B39" w:rsidP="00400007">
      <w:pPr>
        <w:pStyle w:val="paragraph"/>
        <w:numPr>
          <w:ilvl w:val="0"/>
          <w:numId w:val="4"/>
        </w:numPr>
        <w:spacing w:after="0"/>
        <w:textAlignment w:val="baseline"/>
      </w:pPr>
      <w:r w:rsidRPr="000B4AE0">
        <w:rPr>
          <w:b/>
        </w:rPr>
        <w:t>CU0001225</w:t>
      </w:r>
      <w:r w:rsidRPr="000B4AE0">
        <w:rPr>
          <w:b/>
        </w:rPr>
        <w:tab/>
        <w:t>EDC Builders, Inc. vs. Annette Denise Merriman, et al.</w:t>
      </w:r>
      <w:r>
        <w:br/>
      </w:r>
      <w:r w:rsidR="00AA0C44">
        <w:t>No appearances are required.  On its own motion, the Court continues the case management conference to August 21, 2026, at 9:00 a.m., in Department A to permit the parties additional time to complete arbitration and file an</w:t>
      </w:r>
      <w:r w:rsidR="00B547F1">
        <w:t>y</w:t>
      </w:r>
      <w:r w:rsidR="00AA0C44">
        <w:t xml:space="preserve"> necessary petition.  The stay of proceedings in this Court remains in effect.</w:t>
      </w:r>
      <w:r>
        <w:br/>
      </w:r>
    </w:p>
    <w:p w14:paraId="7E71FBA5" w14:textId="3ED39901" w:rsidR="00624EC8" w:rsidRPr="00624EC8" w:rsidRDefault="00AA0C44" w:rsidP="00400007">
      <w:pPr>
        <w:pStyle w:val="paragraph"/>
        <w:numPr>
          <w:ilvl w:val="0"/>
          <w:numId w:val="4"/>
        </w:numPr>
        <w:spacing w:after="0"/>
        <w:textAlignment w:val="baseline"/>
      </w:pPr>
      <w:r w:rsidRPr="000B4AE0">
        <w:rPr>
          <w:b/>
        </w:rPr>
        <w:t>CU0001445</w:t>
      </w:r>
      <w:r w:rsidRPr="000B4AE0">
        <w:rPr>
          <w:b/>
        </w:rPr>
        <w:tab/>
        <w:t>James B. House vs. Gregory Atchley, et al.</w:t>
      </w:r>
      <w:r>
        <w:br/>
      </w:r>
      <w:bookmarkStart w:id="1" w:name="_Hlk208755423"/>
      <w:r w:rsidR="007274F3">
        <w:t xml:space="preserve">No appearances are required.  The order to show cause issued to defendants is dismissed in the interest of justice.  This case is at issue.  Jury fees are paid.  The Court sets jury trial and related dates as follows: </w:t>
      </w:r>
      <w:r w:rsidR="007274F3">
        <w:br/>
      </w:r>
      <w:r w:rsidR="007274F3">
        <w:br/>
      </w:r>
      <w:r w:rsidR="003D2A47" w:rsidRPr="002D5395">
        <w:t xml:space="preserve">Trial:  </w:t>
      </w:r>
      <w:r w:rsidR="003D2A47">
        <w:t xml:space="preserve">May 19, 20, </w:t>
      </w:r>
      <w:r w:rsidR="003A2D0C">
        <w:t>26, 27, 28, 2027</w:t>
      </w:r>
      <w:r w:rsidR="003D2A47">
        <w:t xml:space="preserve"> </w:t>
      </w:r>
      <w:r w:rsidR="003D2A47" w:rsidRPr="002D5395">
        <w:t xml:space="preserve">at </w:t>
      </w:r>
      <w:r w:rsidR="003D2A47">
        <w:t>8:30</w:t>
      </w:r>
      <w:r w:rsidR="003D2A47" w:rsidRPr="002D5395">
        <w:t xml:space="preserve"> a.m. each day, Dept. A</w:t>
      </w:r>
      <w:r w:rsidR="003D2A47" w:rsidRPr="002D5395">
        <w:br/>
        <w:t xml:space="preserve">PTC:  </w:t>
      </w:r>
      <w:r w:rsidR="003D2A47">
        <w:t>May 4</w:t>
      </w:r>
      <w:r w:rsidR="003D2A47" w:rsidRPr="002D5395">
        <w:t>, 2027 at 1:30 p.m., Dept. A</w:t>
      </w:r>
      <w:r w:rsidR="003D2A47" w:rsidRPr="002D5395">
        <w:br/>
        <w:t xml:space="preserve">MSC: </w:t>
      </w:r>
      <w:r w:rsidR="00E75A82">
        <w:t>March 18</w:t>
      </w:r>
      <w:r w:rsidR="003D2A47" w:rsidRPr="002D5395">
        <w:t xml:space="preserve">, 2027 at </w:t>
      </w:r>
      <w:r w:rsidR="003D2A47">
        <w:t>9</w:t>
      </w:r>
      <w:r w:rsidR="003D2A47" w:rsidRPr="002D5395">
        <w:t>:</w:t>
      </w:r>
      <w:r w:rsidR="00E75A82">
        <w:t>0</w:t>
      </w:r>
      <w:r w:rsidR="003D2A47" w:rsidRPr="002D5395">
        <w:t>0 a.m., Dept. A (See, LR 4.02)</w:t>
      </w:r>
      <w:r w:rsidR="003D2A47">
        <w:br/>
      </w:r>
      <w:r w:rsidR="007274F3">
        <w:br/>
      </w:r>
      <w:bookmarkStart w:id="2" w:name="_Hlk227052336"/>
      <w:r w:rsidR="007274F3">
        <w:t>A pre-trial order shall issue.  Unless a party objects to this tentative ruling, gives notice of said objection and appears at the Case Management Conference, parties are deemed to have waived notice of trial AND asserted they will waive conflict on the record at the MSC allowing the trial judge to conduct the MSC.</w:t>
      </w:r>
      <w:bookmarkEnd w:id="1"/>
      <w:bookmarkEnd w:id="2"/>
      <w:r>
        <w:br/>
      </w:r>
    </w:p>
    <w:p w14:paraId="443E6177" w14:textId="78CC88DB" w:rsidR="00624EC8" w:rsidRPr="00624EC8" w:rsidRDefault="006D7A96" w:rsidP="00400007">
      <w:pPr>
        <w:pStyle w:val="paragraph"/>
        <w:numPr>
          <w:ilvl w:val="0"/>
          <w:numId w:val="4"/>
        </w:numPr>
        <w:spacing w:after="0"/>
        <w:textAlignment w:val="baseline"/>
      </w:pPr>
      <w:r w:rsidRPr="000B4AE0">
        <w:rPr>
          <w:b/>
        </w:rPr>
        <w:t>CU0001584</w:t>
      </w:r>
      <w:r w:rsidRPr="000B4AE0">
        <w:rPr>
          <w:b/>
        </w:rPr>
        <w:tab/>
        <w:t>Matthew Coulter vs. Mark Olsen, et al.</w:t>
      </w:r>
      <w:r>
        <w:br/>
      </w:r>
      <w:r w:rsidR="00F443BC" w:rsidRPr="00F443BC">
        <w:t xml:space="preserve">No appearances are required.  On its own motion, the Court continues the case management conference to </w:t>
      </w:r>
      <w:r w:rsidR="00F443BC">
        <w:t>August</w:t>
      </w:r>
      <w:r w:rsidR="00F443BC" w:rsidRPr="00F443BC">
        <w:t xml:space="preserve"> </w:t>
      </w:r>
      <w:r w:rsidR="00F443BC">
        <w:t>21</w:t>
      </w:r>
      <w:r w:rsidR="00F443BC" w:rsidRPr="00F443BC">
        <w:t>, 2026, at 9:00 a.m. in Department A.  A third amended complaint has recently been filed.  Defendants shall file a responsive pleading, or Plaintiff shall file a request for default (as appropriate) or request for dismissal of Defendants at least two weeks prior to the continued case management conference date.</w:t>
      </w:r>
      <w:r>
        <w:br/>
      </w:r>
    </w:p>
    <w:p w14:paraId="07612236" w14:textId="51DB281E" w:rsidR="00624EC8" w:rsidRPr="00624EC8" w:rsidRDefault="00F443BC" w:rsidP="006D2685">
      <w:pPr>
        <w:pStyle w:val="paragraph"/>
        <w:numPr>
          <w:ilvl w:val="0"/>
          <w:numId w:val="4"/>
        </w:numPr>
        <w:spacing w:after="0"/>
        <w:textAlignment w:val="baseline"/>
      </w:pPr>
      <w:r w:rsidRPr="000B4AE0">
        <w:rPr>
          <w:b/>
        </w:rPr>
        <w:t>CU0001662</w:t>
      </w:r>
      <w:r w:rsidRPr="000B4AE0">
        <w:rPr>
          <w:b/>
        </w:rPr>
        <w:tab/>
        <w:t>Pankaj Gupta vs. Bamboo Ide8 Insurance Services, et al.</w:t>
      </w:r>
      <w:r>
        <w:br/>
      </w:r>
      <w:r w:rsidR="003C1FC2">
        <w:rPr>
          <w:rStyle w:val="fontstyle01"/>
        </w:rPr>
        <w:t xml:space="preserve">No appearances are required. </w:t>
      </w:r>
      <w:r w:rsidR="006D2685">
        <w:rPr>
          <w:rStyle w:val="fontstyle01"/>
        </w:rPr>
        <w:t xml:space="preserve">The case is at issue.  Jury fees are posted (thought the Court notes they were posted by a party no longer involved in the case). </w:t>
      </w:r>
      <w:r w:rsidR="003C1FC2">
        <w:rPr>
          <w:rStyle w:val="fontstyle01"/>
        </w:rPr>
        <w:t xml:space="preserve">Neither party has filed a timely case management conference (“CMC”) statement which </w:t>
      </w:r>
      <w:r w:rsidR="00E75A82">
        <w:rPr>
          <w:rStyle w:val="fontstyle01"/>
        </w:rPr>
        <w:t>would alert</w:t>
      </w:r>
      <w:r w:rsidR="003C1FC2">
        <w:rPr>
          <w:rStyle w:val="fontstyle01"/>
        </w:rPr>
        <w:t xml:space="preserve"> the Court </w:t>
      </w:r>
      <w:r w:rsidR="00E75A82">
        <w:rPr>
          <w:rStyle w:val="fontstyle01"/>
        </w:rPr>
        <w:t xml:space="preserve">to any unavailability of a party or counsel.  Thus, the Court sets the matter for jury trial and related dates </w:t>
      </w:r>
      <w:r w:rsidR="006D2685">
        <w:rPr>
          <w:rStyle w:val="fontstyle01"/>
        </w:rPr>
        <w:t xml:space="preserve">with the admonishment all are to be available for trial.  </w:t>
      </w:r>
      <w:r w:rsidR="006D2685">
        <w:br/>
      </w:r>
      <w:r w:rsidR="006D2685">
        <w:br/>
      </w:r>
      <w:r w:rsidR="006D2685" w:rsidRPr="002D5395">
        <w:t xml:space="preserve">Trial:  </w:t>
      </w:r>
      <w:r w:rsidR="006D2685">
        <w:t>June 2, 3, 4, 9 and 10</w:t>
      </w:r>
      <w:r w:rsidR="006D2685">
        <w:t xml:space="preserve">, 2027 </w:t>
      </w:r>
      <w:r w:rsidR="006D2685" w:rsidRPr="002D5395">
        <w:t xml:space="preserve">at </w:t>
      </w:r>
      <w:r w:rsidR="006D2685">
        <w:t>8:30</w:t>
      </w:r>
      <w:r w:rsidR="006D2685" w:rsidRPr="002D5395">
        <w:t xml:space="preserve"> a.m. each day, Dept. A</w:t>
      </w:r>
      <w:r w:rsidR="006D2685" w:rsidRPr="002D5395">
        <w:br/>
        <w:t xml:space="preserve">PTC:  </w:t>
      </w:r>
      <w:r w:rsidR="006D2685">
        <w:t xml:space="preserve">May </w:t>
      </w:r>
      <w:r w:rsidR="006D2685">
        <w:t>11</w:t>
      </w:r>
      <w:r w:rsidR="006D2685" w:rsidRPr="002D5395">
        <w:t>, 2027 at 1:30 p.m., Dept. A</w:t>
      </w:r>
      <w:r w:rsidR="006D2685" w:rsidRPr="002D5395">
        <w:br/>
        <w:t xml:space="preserve">MSC: </w:t>
      </w:r>
      <w:r w:rsidR="006D2685">
        <w:t>Ma</w:t>
      </w:r>
      <w:r w:rsidR="006D2685">
        <w:t>y 2</w:t>
      </w:r>
      <w:r w:rsidR="006D2685">
        <w:t>8</w:t>
      </w:r>
      <w:r w:rsidR="006D2685" w:rsidRPr="002D5395">
        <w:t xml:space="preserve">, 2027 at </w:t>
      </w:r>
      <w:r w:rsidR="006D2685">
        <w:t>9</w:t>
      </w:r>
      <w:r w:rsidR="006D2685" w:rsidRPr="002D5395">
        <w:t>:</w:t>
      </w:r>
      <w:r w:rsidR="006D2685">
        <w:t>0</w:t>
      </w:r>
      <w:r w:rsidR="006D2685" w:rsidRPr="002D5395">
        <w:t>0 a.m., Dept. A (See, LR 4.02)</w:t>
      </w:r>
      <w:r w:rsidR="006D2685">
        <w:br/>
      </w:r>
      <w:r w:rsidR="006D2685">
        <w:br/>
        <w:t>A pre-trial order shall issue.  Unless a party objects to this tentative ruling, gives notice of said objection and appears at the Case Management Conference, parties are deemed to have waived notice of trial AND asserted they will waive conflict on the record at the MSC allowing the trial judge to conduct the MSC.</w:t>
      </w:r>
      <w:r>
        <w:br/>
      </w:r>
    </w:p>
    <w:p w14:paraId="677F96FE" w14:textId="64CA053B" w:rsidR="00624EC8" w:rsidRPr="00624EC8" w:rsidRDefault="003C1FC2" w:rsidP="00400007">
      <w:pPr>
        <w:pStyle w:val="paragraph"/>
        <w:numPr>
          <w:ilvl w:val="0"/>
          <w:numId w:val="4"/>
        </w:numPr>
        <w:spacing w:after="0"/>
        <w:textAlignment w:val="baseline"/>
      </w:pPr>
      <w:r w:rsidRPr="000B4AE0">
        <w:rPr>
          <w:b/>
        </w:rPr>
        <w:t>CU0001953</w:t>
      </w:r>
      <w:r w:rsidRPr="000B4AE0">
        <w:rPr>
          <w:b/>
        </w:rPr>
        <w:tab/>
        <w:t xml:space="preserve">Daisey Tate vs. </w:t>
      </w:r>
      <w:proofErr w:type="spellStart"/>
      <w:r w:rsidRPr="000B4AE0">
        <w:rPr>
          <w:b/>
        </w:rPr>
        <w:t>MasterCorp</w:t>
      </w:r>
      <w:proofErr w:type="spellEnd"/>
      <w:r w:rsidRPr="000B4AE0">
        <w:rPr>
          <w:b/>
        </w:rPr>
        <w:t xml:space="preserve"> Inc.</w:t>
      </w:r>
      <w:r>
        <w:br/>
        <w:t xml:space="preserve">No appearances are required.  The Court has received </w:t>
      </w:r>
      <w:r w:rsidR="00277DB4">
        <w:t>notice of the Order of Coordination.  This Court sets no future dates in this action.</w:t>
      </w:r>
      <w:r>
        <w:br/>
      </w:r>
    </w:p>
    <w:p w14:paraId="6C255BF6" w14:textId="00E42F70" w:rsidR="00624EC8" w:rsidRPr="00624EC8" w:rsidRDefault="00277DB4" w:rsidP="00400007">
      <w:pPr>
        <w:pStyle w:val="paragraph"/>
        <w:numPr>
          <w:ilvl w:val="0"/>
          <w:numId w:val="4"/>
        </w:numPr>
        <w:spacing w:after="0"/>
        <w:textAlignment w:val="baseline"/>
      </w:pPr>
      <w:r w:rsidRPr="000B4AE0">
        <w:rPr>
          <w:b/>
        </w:rPr>
        <w:t>CU0002278</w:t>
      </w:r>
      <w:r w:rsidRPr="000B4AE0">
        <w:rPr>
          <w:b/>
        </w:rPr>
        <w:tab/>
        <w:t>EDC Builders, Inc. vs. Highlands Resort Condominium Association, Inc.</w:t>
      </w:r>
      <w:r>
        <w:br/>
      </w:r>
      <w:r w:rsidR="00E812A3">
        <w:t xml:space="preserve">No appearances are required. </w:t>
      </w:r>
      <w:r w:rsidR="00D42983">
        <w:t xml:space="preserve"> P</w:t>
      </w:r>
      <w:r w:rsidR="00E812A3">
        <w:t>arties</w:t>
      </w:r>
      <w:r w:rsidR="00D42983">
        <w:t xml:space="preserve"> appear to</w:t>
      </w:r>
      <w:r w:rsidR="00E812A3">
        <w:t xml:space="preserve"> agree venue is properly in Placer County</w:t>
      </w:r>
      <w:r w:rsidR="006D2685">
        <w:t>;</w:t>
      </w:r>
      <w:r w:rsidR="00E812A3">
        <w:t xml:space="preserve"> however, </w:t>
      </w:r>
      <w:r w:rsidR="00D42983">
        <w:t xml:space="preserve">neither </w:t>
      </w:r>
      <w:r w:rsidR="00E812A3">
        <w:t xml:space="preserve">a stipulation to transfer venue </w:t>
      </w:r>
      <w:r w:rsidR="00D42983">
        <w:t>nor a motion for change of venue has been filed leaving the Court perplexed</w:t>
      </w:r>
      <w:r w:rsidR="00E812A3">
        <w:t xml:space="preserve">.  The Court continues this matter and sets an order to show cause hearing </w:t>
      </w:r>
      <w:r w:rsidR="006D2685">
        <w:t>for</w:t>
      </w:r>
      <w:r w:rsidR="00E812A3">
        <w:t xml:space="preserve"> August 21, 2026, at 9:00 a.m., in Department A.  Plaintiff shall show cause </w:t>
      </w:r>
      <w:r w:rsidR="006D2685">
        <w:t xml:space="preserve">as to </w:t>
      </w:r>
      <w:r w:rsidR="00E812A3">
        <w:t>why this matter should not be transferred to Placer County</w:t>
      </w:r>
      <w:r w:rsidR="006D2685">
        <w:t xml:space="preserve"> with all costs related to transfer being born by Plaintiff</w:t>
      </w:r>
      <w:r w:rsidR="00E812A3">
        <w:t>.  The clerk shall serve notice of the order to show cause.</w:t>
      </w:r>
      <w:r>
        <w:br/>
      </w:r>
    </w:p>
    <w:p w14:paraId="42C2CF1E" w14:textId="75AD9777" w:rsidR="00624EC8" w:rsidRPr="00624EC8" w:rsidRDefault="00E812A3" w:rsidP="00400007">
      <w:pPr>
        <w:pStyle w:val="paragraph"/>
        <w:numPr>
          <w:ilvl w:val="0"/>
          <w:numId w:val="4"/>
        </w:numPr>
        <w:spacing w:after="0"/>
        <w:textAlignment w:val="baseline"/>
      </w:pPr>
      <w:r w:rsidRPr="000B4AE0">
        <w:rPr>
          <w:b/>
        </w:rPr>
        <w:t>CU0002345</w:t>
      </w:r>
      <w:r w:rsidRPr="000B4AE0">
        <w:rPr>
          <w:b/>
        </w:rPr>
        <w:tab/>
        <w:t xml:space="preserve">Jeffrey T. </w:t>
      </w:r>
      <w:proofErr w:type="spellStart"/>
      <w:r w:rsidRPr="000B4AE0">
        <w:rPr>
          <w:b/>
        </w:rPr>
        <w:t>Menasco</w:t>
      </w:r>
      <w:proofErr w:type="spellEnd"/>
      <w:r w:rsidRPr="000B4AE0">
        <w:rPr>
          <w:b/>
        </w:rPr>
        <w:t xml:space="preserve"> et al vs. 15794 Alder Creek, LLC, et al.</w:t>
      </w:r>
      <w:r w:rsidRPr="000B4AE0">
        <w:rPr>
          <w:b/>
        </w:rPr>
        <w:br/>
      </w:r>
      <w:bookmarkStart w:id="3" w:name="_Hlk229406358"/>
      <w:r w:rsidRPr="00E812A3">
        <w:t xml:space="preserve">No appearances are required.  On its own motion, the Court continues the case management conference to August </w:t>
      </w:r>
      <w:r>
        <w:t>21</w:t>
      </w:r>
      <w:r w:rsidRPr="00E812A3">
        <w:t xml:space="preserve">, 2026, at 9:00 a.m., in Department </w:t>
      </w:r>
      <w:r>
        <w:t>A</w:t>
      </w:r>
      <w:r w:rsidRPr="00E812A3">
        <w:t>.  Plaintiff shall file a proof of service, an application for service by publication (as appropriate), or a request for dismissal of Defendants no later than two weeks prior to the continued case management conference date.</w:t>
      </w:r>
      <w:r>
        <w:br/>
      </w:r>
      <w:bookmarkEnd w:id="3"/>
    </w:p>
    <w:p w14:paraId="3275E186" w14:textId="5C10DBE6" w:rsidR="00624EC8" w:rsidRPr="00624EC8" w:rsidRDefault="00737E01" w:rsidP="00400007">
      <w:pPr>
        <w:pStyle w:val="paragraph"/>
        <w:numPr>
          <w:ilvl w:val="0"/>
          <w:numId w:val="4"/>
        </w:numPr>
        <w:spacing w:after="0"/>
        <w:textAlignment w:val="baseline"/>
      </w:pPr>
      <w:r w:rsidRPr="000B4AE0">
        <w:rPr>
          <w:b/>
        </w:rPr>
        <w:t>CU0002399</w:t>
      </w:r>
      <w:r w:rsidRPr="000B4AE0">
        <w:rPr>
          <w:b/>
        </w:rPr>
        <w:tab/>
        <w:t>Linda Rodriguez vs. Lake of the Pines Association, et al.</w:t>
      </w:r>
      <w:r>
        <w:br/>
      </w:r>
      <w:r w:rsidRPr="00737E01">
        <w:t xml:space="preserve">No appearances are required.  On its own motion, the Court continues the case management conference to August 21, 2026, at 9:00 a.m., in Department A.  </w:t>
      </w:r>
      <w:r w:rsidR="00C44D06">
        <w:t>This case is not yet at issue.  Defendants are</w:t>
      </w:r>
      <w:r w:rsidR="00D42983">
        <w:t xml:space="preserve"> </w:t>
      </w:r>
      <w:r w:rsidR="00C44D06">
        <w:t>reminded to submit a proposed order regarding the Court’s April 13, 2026 ruling on their Demurrer.</w:t>
      </w:r>
      <w:r>
        <w:br/>
      </w:r>
    </w:p>
    <w:p w14:paraId="5B1F0121" w14:textId="46BBCD45" w:rsidR="00624EC8" w:rsidRPr="00624EC8" w:rsidRDefault="00C44D06" w:rsidP="00400007">
      <w:pPr>
        <w:pStyle w:val="paragraph"/>
        <w:numPr>
          <w:ilvl w:val="0"/>
          <w:numId w:val="4"/>
        </w:numPr>
        <w:spacing w:after="0"/>
        <w:textAlignment w:val="baseline"/>
      </w:pPr>
      <w:r w:rsidRPr="000B4AE0">
        <w:rPr>
          <w:b/>
        </w:rPr>
        <w:t>CU0002488</w:t>
      </w:r>
      <w:r w:rsidRPr="000B4AE0">
        <w:rPr>
          <w:b/>
        </w:rPr>
        <w:tab/>
      </w:r>
      <w:proofErr w:type="spellStart"/>
      <w:r w:rsidRPr="000B4AE0">
        <w:rPr>
          <w:b/>
        </w:rPr>
        <w:t>Hunjan</w:t>
      </w:r>
      <w:proofErr w:type="spellEnd"/>
      <w:r w:rsidRPr="000B4AE0">
        <w:rPr>
          <w:b/>
        </w:rPr>
        <w:t xml:space="preserve"> LLC, a California Limited Liability Company et al vs. Frank D. </w:t>
      </w:r>
      <w:proofErr w:type="spellStart"/>
      <w:r w:rsidRPr="000B4AE0">
        <w:rPr>
          <w:b/>
        </w:rPr>
        <w:t>Stanshaw</w:t>
      </w:r>
      <w:proofErr w:type="spellEnd"/>
      <w:r w:rsidRPr="000B4AE0">
        <w:rPr>
          <w:b/>
        </w:rPr>
        <w:t>, Jr., et al.</w:t>
      </w:r>
      <w:r>
        <w:br/>
      </w:r>
      <w:r w:rsidR="009913A2" w:rsidRPr="009913A2">
        <w:t>No appearances are required.  On its own motion, the Court continues the case management conference to August 21, 2026, at 9:00 a.m., in Department A.  Plaintiff shall file a proof of service, an application for service by publication (as appropriate), or a request for dismissal of Defendants</w:t>
      </w:r>
      <w:r w:rsidR="009913A2">
        <w:t xml:space="preserve"> Robert Belden, Donald Belden</w:t>
      </w:r>
      <w:r w:rsidR="009913A2" w:rsidRPr="009913A2">
        <w:t xml:space="preserve"> </w:t>
      </w:r>
      <w:r w:rsidR="009913A2">
        <w:t xml:space="preserve">and Bruce Belden </w:t>
      </w:r>
      <w:r w:rsidR="009913A2" w:rsidRPr="009913A2">
        <w:t>no later than two weeks prior to the continued case management conference date.</w:t>
      </w:r>
      <w:r>
        <w:br/>
      </w:r>
    </w:p>
    <w:p w14:paraId="44DF8769" w14:textId="07AEE5A4" w:rsidR="00624EC8" w:rsidRPr="00624EC8" w:rsidRDefault="00530989" w:rsidP="00400007">
      <w:pPr>
        <w:pStyle w:val="paragraph"/>
        <w:numPr>
          <w:ilvl w:val="0"/>
          <w:numId w:val="4"/>
        </w:numPr>
        <w:spacing w:after="0"/>
        <w:textAlignment w:val="baseline"/>
      </w:pPr>
      <w:r w:rsidRPr="000B4AE0">
        <w:rPr>
          <w:b/>
        </w:rPr>
        <w:t>CU0002513</w:t>
      </w:r>
      <w:r w:rsidRPr="000B4AE0">
        <w:rPr>
          <w:b/>
        </w:rPr>
        <w:tab/>
        <w:t>Truckee Crossroads S.C., LP, vs. Sierra Crest Corporation, et al.</w:t>
      </w:r>
      <w:r>
        <w:br/>
      </w:r>
      <w:bookmarkStart w:id="4" w:name="_Hlk229480381"/>
      <w:r w:rsidR="003A090A" w:rsidRPr="003A090A">
        <w:t xml:space="preserve">No appearances are required.  </w:t>
      </w:r>
      <w:bookmarkStart w:id="5" w:name="_Hlk229481974"/>
      <w:r w:rsidR="003A090A" w:rsidRPr="003A090A">
        <w:t>On its own motion, the Court continues the case management conference to August 21, 2026, at 9:00 a.m., in Department A</w:t>
      </w:r>
      <w:r w:rsidR="00A80170">
        <w:t xml:space="preserve"> to allow time for the parties to comply with the Court’s order issued on May 11, 2026</w:t>
      </w:r>
      <w:r w:rsidR="003A090A" w:rsidRPr="003A090A">
        <w:t>.</w:t>
      </w:r>
      <w:bookmarkEnd w:id="4"/>
      <w:bookmarkEnd w:id="5"/>
      <w:r w:rsidR="003A090A" w:rsidRPr="003A090A">
        <w:t xml:space="preserve">  </w:t>
      </w:r>
      <w:r>
        <w:br/>
      </w:r>
    </w:p>
    <w:p w14:paraId="03DF0C3E" w14:textId="003FC261" w:rsidR="00624EC8" w:rsidRPr="00624EC8" w:rsidRDefault="00FD2313" w:rsidP="00400007">
      <w:pPr>
        <w:pStyle w:val="paragraph"/>
        <w:numPr>
          <w:ilvl w:val="0"/>
          <w:numId w:val="4"/>
        </w:numPr>
        <w:spacing w:after="0"/>
        <w:textAlignment w:val="baseline"/>
      </w:pPr>
      <w:r w:rsidRPr="000B4AE0">
        <w:rPr>
          <w:b/>
        </w:rPr>
        <w:t>CU0002520</w:t>
      </w:r>
      <w:r w:rsidRPr="000B4AE0">
        <w:rPr>
          <w:b/>
        </w:rPr>
        <w:tab/>
        <w:t>Michael Simas, et al. vs. Susan Starch, et al.</w:t>
      </w:r>
      <w:r>
        <w:br/>
        <w:t>No appearances are required.  The order to show cause issued to defendants is dismissed in the interest of justice.  This case is at issue.  Jury fees are paid.  The Court sets jury trial and related dates as follows</w:t>
      </w:r>
      <w:r w:rsidR="00A80170">
        <w:t xml:space="preserve"> noting </w:t>
      </w:r>
      <w:r w:rsidR="007326C9">
        <w:t>no party/counsel indicated any unavailable dates for trial</w:t>
      </w:r>
      <w:r>
        <w:t xml:space="preserve">: </w:t>
      </w:r>
      <w:r>
        <w:br/>
      </w:r>
      <w:r>
        <w:br/>
      </w:r>
      <w:r w:rsidR="007326C9" w:rsidRPr="002D5395">
        <w:t xml:space="preserve">Trial:  </w:t>
      </w:r>
      <w:r w:rsidR="007326C9">
        <w:t xml:space="preserve">June 2, 3, 4, 9 and 10, 2027 </w:t>
      </w:r>
      <w:r w:rsidR="007326C9" w:rsidRPr="002D5395">
        <w:t xml:space="preserve">at </w:t>
      </w:r>
      <w:r w:rsidR="007326C9">
        <w:t>8:30</w:t>
      </w:r>
      <w:r w:rsidR="007326C9" w:rsidRPr="002D5395">
        <w:t xml:space="preserve"> a.m. each day, Dept. A</w:t>
      </w:r>
      <w:r w:rsidR="007326C9" w:rsidRPr="002D5395">
        <w:br/>
        <w:t xml:space="preserve">PTC:  </w:t>
      </w:r>
      <w:r w:rsidR="007326C9">
        <w:t>May 11</w:t>
      </w:r>
      <w:r w:rsidR="007326C9" w:rsidRPr="002D5395">
        <w:t>, 2027 at 1:30 p.m., Dept. A</w:t>
      </w:r>
      <w:r w:rsidR="007326C9" w:rsidRPr="002D5395">
        <w:br/>
        <w:t xml:space="preserve">MSC: </w:t>
      </w:r>
      <w:r w:rsidR="007326C9">
        <w:t>May 2</w:t>
      </w:r>
      <w:r w:rsidR="007326C9">
        <w:t>9</w:t>
      </w:r>
      <w:r w:rsidR="007326C9" w:rsidRPr="002D5395">
        <w:t xml:space="preserve">, 2027 at </w:t>
      </w:r>
      <w:r w:rsidR="007326C9">
        <w:t>9</w:t>
      </w:r>
      <w:r w:rsidR="007326C9" w:rsidRPr="002D5395">
        <w:t>:</w:t>
      </w:r>
      <w:r w:rsidR="007326C9">
        <w:t>0</w:t>
      </w:r>
      <w:r w:rsidR="007326C9" w:rsidRPr="002D5395">
        <w:t>0 a.m., Dept. A (See, LR 4.02)</w:t>
      </w:r>
      <w:r>
        <w:br/>
      </w:r>
      <w:r>
        <w:br/>
        <w:t>A pre-trial order shall issue.  Unless a party objects to this tentative ruling, gives notice of said objection and appears at the Case Management Conference, parties are deemed to have waived notice of trial AND asserted they will waive conflict on the record at the MSC allowing the trial judge to conduct the MSC.</w:t>
      </w:r>
      <w:r>
        <w:br/>
      </w:r>
    </w:p>
    <w:p w14:paraId="4693DF93" w14:textId="4FECC359" w:rsidR="003D2A47" w:rsidRDefault="003D2A47" w:rsidP="00400007">
      <w:pPr>
        <w:pStyle w:val="paragraph"/>
        <w:numPr>
          <w:ilvl w:val="0"/>
          <w:numId w:val="4"/>
        </w:numPr>
        <w:spacing w:after="0"/>
        <w:textAlignment w:val="baseline"/>
      </w:pPr>
      <w:r w:rsidRPr="000B4AE0">
        <w:rPr>
          <w:b/>
        </w:rPr>
        <w:t>CU0002522</w:t>
      </w:r>
      <w:r w:rsidRPr="000B4AE0">
        <w:rPr>
          <w:b/>
        </w:rPr>
        <w:tab/>
        <w:t>Douglas Gray vs. Infinity Insurance</w:t>
      </w:r>
      <w:r>
        <w:br/>
      </w:r>
      <w:r w:rsidRPr="003D2A47">
        <w:t xml:space="preserve">No appearances are required.  On its own motion, the Court continues the case management conference to </w:t>
      </w:r>
      <w:r w:rsidR="005017D7">
        <w:t>November 20</w:t>
      </w:r>
      <w:r w:rsidRPr="003D2A47">
        <w:t>, 2026, at 9:00 a.m., in Department A</w:t>
      </w:r>
      <w:r w:rsidR="005017D7">
        <w:t xml:space="preserve"> to permit the parties time to complete arbitration.</w:t>
      </w:r>
      <w:r>
        <w:br/>
      </w:r>
    </w:p>
    <w:p w14:paraId="605B7C6E" w14:textId="3393E692" w:rsidR="00624EC8" w:rsidRPr="00624EC8" w:rsidRDefault="00624EC8" w:rsidP="00400007">
      <w:pPr>
        <w:pStyle w:val="paragraph"/>
        <w:numPr>
          <w:ilvl w:val="0"/>
          <w:numId w:val="4"/>
        </w:numPr>
        <w:spacing w:after="0"/>
        <w:textAlignment w:val="baseline"/>
      </w:pPr>
      <w:bookmarkStart w:id="6" w:name="_Hlk229487061"/>
      <w:r w:rsidRPr="000B4AE0">
        <w:rPr>
          <w:b/>
        </w:rPr>
        <w:t>PR0000914</w:t>
      </w:r>
      <w:r w:rsidRPr="000B4AE0">
        <w:rPr>
          <w:b/>
        </w:rPr>
        <w:tab/>
        <w:t>In the Matter of James William Ness</w:t>
      </w:r>
      <w:r w:rsidR="005017D7">
        <w:br/>
      </w:r>
      <w:r w:rsidR="00D27768">
        <w:t xml:space="preserve">No appearances are required.  This case is not yet at issue.  </w:t>
      </w:r>
      <w:r w:rsidR="00D27768" w:rsidRPr="00D27768">
        <w:t>On its own motion, the Court continues the case management conference to August 21, 2026, at 9:00 a.m., in Department A.</w:t>
      </w:r>
      <w:r w:rsidR="00D27768">
        <w:t xml:space="preserve">  </w:t>
      </w:r>
      <w:r w:rsidR="00B27F3B">
        <w:t xml:space="preserve">Respondents shall file a responsive pleading or Petitioner shall file a </w:t>
      </w:r>
      <w:r w:rsidR="00B27F3B" w:rsidRPr="00B27F3B">
        <w:t>request for default (as appropriate) or request for dismissal</w:t>
      </w:r>
      <w:r w:rsidR="00B27F3B">
        <w:t xml:space="preserve"> prior to the continued court date.</w:t>
      </w:r>
      <w:bookmarkEnd w:id="6"/>
      <w:r w:rsidR="005017D7">
        <w:br/>
      </w:r>
    </w:p>
    <w:sectPr w:rsidR="00624EC8" w:rsidRPr="0062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63A8"/>
    <w:multiLevelType w:val="hybridMultilevel"/>
    <w:tmpl w:val="465EDF90"/>
    <w:lvl w:ilvl="0" w:tplc="222C4C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346C25"/>
    <w:multiLevelType w:val="hybridMultilevel"/>
    <w:tmpl w:val="522A6F5C"/>
    <w:lvl w:ilvl="0" w:tplc="B3F096DE">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940470"/>
    <w:multiLevelType w:val="hybridMultilevel"/>
    <w:tmpl w:val="F45AB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0247AC"/>
    <w:multiLevelType w:val="hybridMultilevel"/>
    <w:tmpl w:val="F45AB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74E31F0"/>
    <w:multiLevelType w:val="hybridMultilevel"/>
    <w:tmpl w:val="60226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95"/>
    <w:rsid w:val="000037C7"/>
    <w:rsid w:val="0000693D"/>
    <w:rsid w:val="00010ECE"/>
    <w:rsid w:val="00012DC0"/>
    <w:rsid w:val="00016D10"/>
    <w:rsid w:val="000170AD"/>
    <w:rsid w:val="00025ABF"/>
    <w:rsid w:val="000262C2"/>
    <w:rsid w:val="00027F29"/>
    <w:rsid w:val="00031783"/>
    <w:rsid w:val="00033ACE"/>
    <w:rsid w:val="0004058D"/>
    <w:rsid w:val="00044E6B"/>
    <w:rsid w:val="00046EB0"/>
    <w:rsid w:val="00050497"/>
    <w:rsid w:val="0005175F"/>
    <w:rsid w:val="000565E2"/>
    <w:rsid w:val="00057116"/>
    <w:rsid w:val="00066D35"/>
    <w:rsid w:val="00076F66"/>
    <w:rsid w:val="00080D0C"/>
    <w:rsid w:val="00087B67"/>
    <w:rsid w:val="00091AB0"/>
    <w:rsid w:val="000A3512"/>
    <w:rsid w:val="000B4AE0"/>
    <w:rsid w:val="000C1924"/>
    <w:rsid w:val="000C2212"/>
    <w:rsid w:val="000C3757"/>
    <w:rsid w:val="000C449E"/>
    <w:rsid w:val="000C45D1"/>
    <w:rsid w:val="000E0C19"/>
    <w:rsid w:val="000E28DA"/>
    <w:rsid w:val="000E2D1F"/>
    <w:rsid w:val="000E3AE3"/>
    <w:rsid w:val="000E5086"/>
    <w:rsid w:val="000F0284"/>
    <w:rsid w:val="000F0594"/>
    <w:rsid w:val="000F2E21"/>
    <w:rsid w:val="000F354B"/>
    <w:rsid w:val="000F3779"/>
    <w:rsid w:val="000F5E6F"/>
    <w:rsid w:val="00113FE0"/>
    <w:rsid w:val="0012726B"/>
    <w:rsid w:val="00127623"/>
    <w:rsid w:val="00130963"/>
    <w:rsid w:val="00133160"/>
    <w:rsid w:val="00134706"/>
    <w:rsid w:val="00145339"/>
    <w:rsid w:val="001518D9"/>
    <w:rsid w:val="0015739A"/>
    <w:rsid w:val="00170E9C"/>
    <w:rsid w:val="001724E5"/>
    <w:rsid w:val="001826BA"/>
    <w:rsid w:val="001844C8"/>
    <w:rsid w:val="00185ACF"/>
    <w:rsid w:val="00187815"/>
    <w:rsid w:val="001931E4"/>
    <w:rsid w:val="001A24AA"/>
    <w:rsid w:val="001A777C"/>
    <w:rsid w:val="001B4C0B"/>
    <w:rsid w:val="001B624A"/>
    <w:rsid w:val="001C4D62"/>
    <w:rsid w:val="001D487A"/>
    <w:rsid w:val="001E3E0B"/>
    <w:rsid w:val="001E43ED"/>
    <w:rsid w:val="001E571E"/>
    <w:rsid w:val="001F4050"/>
    <w:rsid w:val="00202C19"/>
    <w:rsid w:val="002030A8"/>
    <w:rsid w:val="0020525D"/>
    <w:rsid w:val="00215659"/>
    <w:rsid w:val="00224754"/>
    <w:rsid w:val="002262E1"/>
    <w:rsid w:val="00226E62"/>
    <w:rsid w:val="00230A17"/>
    <w:rsid w:val="00246293"/>
    <w:rsid w:val="00247636"/>
    <w:rsid w:val="00247DD0"/>
    <w:rsid w:val="00252121"/>
    <w:rsid w:val="00254352"/>
    <w:rsid w:val="00255C38"/>
    <w:rsid w:val="00260DF2"/>
    <w:rsid w:val="00265C78"/>
    <w:rsid w:val="00272F8F"/>
    <w:rsid w:val="00277DB4"/>
    <w:rsid w:val="002843B6"/>
    <w:rsid w:val="0028617A"/>
    <w:rsid w:val="00293752"/>
    <w:rsid w:val="00293FD5"/>
    <w:rsid w:val="00295CA7"/>
    <w:rsid w:val="00296F7B"/>
    <w:rsid w:val="002A0B44"/>
    <w:rsid w:val="002A19DB"/>
    <w:rsid w:val="002A7CFC"/>
    <w:rsid w:val="002C1839"/>
    <w:rsid w:val="002C32B0"/>
    <w:rsid w:val="002C3311"/>
    <w:rsid w:val="002C4956"/>
    <w:rsid w:val="002D12B8"/>
    <w:rsid w:val="002D1757"/>
    <w:rsid w:val="002D2815"/>
    <w:rsid w:val="002D5395"/>
    <w:rsid w:val="002E1392"/>
    <w:rsid w:val="002E3357"/>
    <w:rsid w:val="002F1EA6"/>
    <w:rsid w:val="00301104"/>
    <w:rsid w:val="003023DF"/>
    <w:rsid w:val="00304D01"/>
    <w:rsid w:val="00312B31"/>
    <w:rsid w:val="00321589"/>
    <w:rsid w:val="0033151C"/>
    <w:rsid w:val="0033547D"/>
    <w:rsid w:val="0034041B"/>
    <w:rsid w:val="00350DEE"/>
    <w:rsid w:val="00351184"/>
    <w:rsid w:val="0035186E"/>
    <w:rsid w:val="00360722"/>
    <w:rsid w:val="00370AB8"/>
    <w:rsid w:val="0037550D"/>
    <w:rsid w:val="00382840"/>
    <w:rsid w:val="00383191"/>
    <w:rsid w:val="00385028"/>
    <w:rsid w:val="00391905"/>
    <w:rsid w:val="003A090A"/>
    <w:rsid w:val="003A2585"/>
    <w:rsid w:val="003A2D0C"/>
    <w:rsid w:val="003B5125"/>
    <w:rsid w:val="003C1FC2"/>
    <w:rsid w:val="003C49CE"/>
    <w:rsid w:val="003D086D"/>
    <w:rsid w:val="003D0988"/>
    <w:rsid w:val="003D0FDB"/>
    <w:rsid w:val="003D2A47"/>
    <w:rsid w:val="003E0339"/>
    <w:rsid w:val="003F00B6"/>
    <w:rsid w:val="003F035B"/>
    <w:rsid w:val="003F0DD4"/>
    <w:rsid w:val="003F6DEE"/>
    <w:rsid w:val="00400007"/>
    <w:rsid w:val="00400C6D"/>
    <w:rsid w:val="00404B8C"/>
    <w:rsid w:val="00410D85"/>
    <w:rsid w:val="00412F81"/>
    <w:rsid w:val="004143A8"/>
    <w:rsid w:val="00417AF7"/>
    <w:rsid w:val="00437EA3"/>
    <w:rsid w:val="00440A16"/>
    <w:rsid w:val="0044566B"/>
    <w:rsid w:val="00451C13"/>
    <w:rsid w:val="00451D6F"/>
    <w:rsid w:val="00453AAB"/>
    <w:rsid w:val="004571AB"/>
    <w:rsid w:val="00460E43"/>
    <w:rsid w:val="00461175"/>
    <w:rsid w:val="004611EA"/>
    <w:rsid w:val="00462A40"/>
    <w:rsid w:val="00462E1C"/>
    <w:rsid w:val="00463AA1"/>
    <w:rsid w:val="004716EE"/>
    <w:rsid w:val="004747C3"/>
    <w:rsid w:val="00476012"/>
    <w:rsid w:val="004764D5"/>
    <w:rsid w:val="00482D11"/>
    <w:rsid w:val="00486F63"/>
    <w:rsid w:val="004900AF"/>
    <w:rsid w:val="004909F4"/>
    <w:rsid w:val="004926B6"/>
    <w:rsid w:val="00496A23"/>
    <w:rsid w:val="004A00AF"/>
    <w:rsid w:val="004A542B"/>
    <w:rsid w:val="004A5B84"/>
    <w:rsid w:val="004A6EC3"/>
    <w:rsid w:val="004B02EB"/>
    <w:rsid w:val="004B23CA"/>
    <w:rsid w:val="004B42EC"/>
    <w:rsid w:val="004B5CA9"/>
    <w:rsid w:val="004B7C35"/>
    <w:rsid w:val="004B7CD4"/>
    <w:rsid w:val="004C780B"/>
    <w:rsid w:val="004D2786"/>
    <w:rsid w:val="004D5B87"/>
    <w:rsid w:val="004E290B"/>
    <w:rsid w:val="005017D7"/>
    <w:rsid w:val="00503FAD"/>
    <w:rsid w:val="00504DBB"/>
    <w:rsid w:val="00505A98"/>
    <w:rsid w:val="005164F7"/>
    <w:rsid w:val="00517BC1"/>
    <w:rsid w:val="00522A01"/>
    <w:rsid w:val="00523B80"/>
    <w:rsid w:val="00527658"/>
    <w:rsid w:val="00530989"/>
    <w:rsid w:val="00531726"/>
    <w:rsid w:val="00534B5E"/>
    <w:rsid w:val="00535D49"/>
    <w:rsid w:val="00536E73"/>
    <w:rsid w:val="00547FF3"/>
    <w:rsid w:val="00550B19"/>
    <w:rsid w:val="00560D6C"/>
    <w:rsid w:val="0056318B"/>
    <w:rsid w:val="00577B96"/>
    <w:rsid w:val="00582B98"/>
    <w:rsid w:val="00586964"/>
    <w:rsid w:val="005903E5"/>
    <w:rsid w:val="005B0799"/>
    <w:rsid w:val="005B2AA0"/>
    <w:rsid w:val="005B72C0"/>
    <w:rsid w:val="005C5EDE"/>
    <w:rsid w:val="005C7BA2"/>
    <w:rsid w:val="005D2622"/>
    <w:rsid w:val="005D28A5"/>
    <w:rsid w:val="005D78C0"/>
    <w:rsid w:val="005E6704"/>
    <w:rsid w:val="005F478B"/>
    <w:rsid w:val="005F543E"/>
    <w:rsid w:val="005F79B2"/>
    <w:rsid w:val="00603393"/>
    <w:rsid w:val="00604081"/>
    <w:rsid w:val="0060660C"/>
    <w:rsid w:val="00610190"/>
    <w:rsid w:val="00611488"/>
    <w:rsid w:val="00616724"/>
    <w:rsid w:val="00624EC8"/>
    <w:rsid w:val="00624F7B"/>
    <w:rsid w:val="00633B7B"/>
    <w:rsid w:val="00633C7E"/>
    <w:rsid w:val="006428B2"/>
    <w:rsid w:val="00660BD0"/>
    <w:rsid w:val="00661D04"/>
    <w:rsid w:val="00662D83"/>
    <w:rsid w:val="00666CB0"/>
    <w:rsid w:val="00675E48"/>
    <w:rsid w:val="006906DE"/>
    <w:rsid w:val="006946CE"/>
    <w:rsid w:val="00695F28"/>
    <w:rsid w:val="006A07B8"/>
    <w:rsid w:val="006A1678"/>
    <w:rsid w:val="006A505F"/>
    <w:rsid w:val="006B4FBF"/>
    <w:rsid w:val="006C52BD"/>
    <w:rsid w:val="006C616E"/>
    <w:rsid w:val="006D2685"/>
    <w:rsid w:val="006D44BF"/>
    <w:rsid w:val="006D7A96"/>
    <w:rsid w:val="006E0425"/>
    <w:rsid w:val="006E3906"/>
    <w:rsid w:val="006E51D7"/>
    <w:rsid w:val="006E6EE9"/>
    <w:rsid w:val="006F1D95"/>
    <w:rsid w:val="006F6E66"/>
    <w:rsid w:val="006F7AF2"/>
    <w:rsid w:val="00712EA5"/>
    <w:rsid w:val="00722CE4"/>
    <w:rsid w:val="007274F3"/>
    <w:rsid w:val="00730601"/>
    <w:rsid w:val="007326C9"/>
    <w:rsid w:val="0073697F"/>
    <w:rsid w:val="007377B8"/>
    <w:rsid w:val="00737E01"/>
    <w:rsid w:val="0074224B"/>
    <w:rsid w:val="00746843"/>
    <w:rsid w:val="0075080D"/>
    <w:rsid w:val="00750DA6"/>
    <w:rsid w:val="0075192E"/>
    <w:rsid w:val="007654D7"/>
    <w:rsid w:val="0076666B"/>
    <w:rsid w:val="0076747F"/>
    <w:rsid w:val="00771D64"/>
    <w:rsid w:val="00774180"/>
    <w:rsid w:val="00777978"/>
    <w:rsid w:val="00783E0F"/>
    <w:rsid w:val="00786C5C"/>
    <w:rsid w:val="00791016"/>
    <w:rsid w:val="0079462E"/>
    <w:rsid w:val="0079557C"/>
    <w:rsid w:val="00797056"/>
    <w:rsid w:val="0079754F"/>
    <w:rsid w:val="007A42C3"/>
    <w:rsid w:val="007A46B7"/>
    <w:rsid w:val="007A5953"/>
    <w:rsid w:val="007B016E"/>
    <w:rsid w:val="007B28A4"/>
    <w:rsid w:val="007B3A28"/>
    <w:rsid w:val="007C7BE3"/>
    <w:rsid w:val="007D02C6"/>
    <w:rsid w:val="007D24AE"/>
    <w:rsid w:val="007D26EE"/>
    <w:rsid w:val="007D2ED0"/>
    <w:rsid w:val="007D4970"/>
    <w:rsid w:val="007D7E80"/>
    <w:rsid w:val="007E312D"/>
    <w:rsid w:val="007E57CC"/>
    <w:rsid w:val="007E6271"/>
    <w:rsid w:val="007E6314"/>
    <w:rsid w:val="007E73E2"/>
    <w:rsid w:val="007F1949"/>
    <w:rsid w:val="007F2A3F"/>
    <w:rsid w:val="007F4BFF"/>
    <w:rsid w:val="007F6910"/>
    <w:rsid w:val="0080625D"/>
    <w:rsid w:val="0080653E"/>
    <w:rsid w:val="0081740D"/>
    <w:rsid w:val="00817A56"/>
    <w:rsid w:val="00825F69"/>
    <w:rsid w:val="00826895"/>
    <w:rsid w:val="00835C74"/>
    <w:rsid w:val="00840B27"/>
    <w:rsid w:val="0084249B"/>
    <w:rsid w:val="00843959"/>
    <w:rsid w:val="00843FC3"/>
    <w:rsid w:val="00846CCB"/>
    <w:rsid w:val="008537BA"/>
    <w:rsid w:val="008568BF"/>
    <w:rsid w:val="00863E74"/>
    <w:rsid w:val="008654FB"/>
    <w:rsid w:val="008665A0"/>
    <w:rsid w:val="00871CBD"/>
    <w:rsid w:val="00873037"/>
    <w:rsid w:val="008734B8"/>
    <w:rsid w:val="00873E14"/>
    <w:rsid w:val="00885483"/>
    <w:rsid w:val="0088581C"/>
    <w:rsid w:val="008900F3"/>
    <w:rsid w:val="008914B5"/>
    <w:rsid w:val="008A0224"/>
    <w:rsid w:val="008B0387"/>
    <w:rsid w:val="008B3DFB"/>
    <w:rsid w:val="008C2269"/>
    <w:rsid w:val="008D52D5"/>
    <w:rsid w:val="008E44E2"/>
    <w:rsid w:val="008E61BC"/>
    <w:rsid w:val="008E6672"/>
    <w:rsid w:val="008F12A5"/>
    <w:rsid w:val="008F140A"/>
    <w:rsid w:val="008F524B"/>
    <w:rsid w:val="008F6503"/>
    <w:rsid w:val="00901699"/>
    <w:rsid w:val="009034FC"/>
    <w:rsid w:val="0090489E"/>
    <w:rsid w:val="0091650A"/>
    <w:rsid w:val="00922E7E"/>
    <w:rsid w:val="00926585"/>
    <w:rsid w:val="00927000"/>
    <w:rsid w:val="00930262"/>
    <w:rsid w:val="0093208B"/>
    <w:rsid w:val="00941FC4"/>
    <w:rsid w:val="00947143"/>
    <w:rsid w:val="00947FF8"/>
    <w:rsid w:val="00952DAC"/>
    <w:rsid w:val="00960181"/>
    <w:rsid w:val="009608AB"/>
    <w:rsid w:val="00962AA9"/>
    <w:rsid w:val="00966BD4"/>
    <w:rsid w:val="00966D60"/>
    <w:rsid w:val="00971372"/>
    <w:rsid w:val="00971FC5"/>
    <w:rsid w:val="00982C82"/>
    <w:rsid w:val="00985053"/>
    <w:rsid w:val="00985D39"/>
    <w:rsid w:val="009913A2"/>
    <w:rsid w:val="00991A8D"/>
    <w:rsid w:val="009926E8"/>
    <w:rsid w:val="009A7C5E"/>
    <w:rsid w:val="009C03CE"/>
    <w:rsid w:val="009C16E5"/>
    <w:rsid w:val="009C2ADB"/>
    <w:rsid w:val="009D1E10"/>
    <w:rsid w:val="009D3DD3"/>
    <w:rsid w:val="009D4B9F"/>
    <w:rsid w:val="009E7DE2"/>
    <w:rsid w:val="00A00C64"/>
    <w:rsid w:val="00A10267"/>
    <w:rsid w:val="00A11623"/>
    <w:rsid w:val="00A17287"/>
    <w:rsid w:val="00A40780"/>
    <w:rsid w:val="00A43E2C"/>
    <w:rsid w:val="00A44629"/>
    <w:rsid w:val="00A4612A"/>
    <w:rsid w:val="00A4637B"/>
    <w:rsid w:val="00A565FF"/>
    <w:rsid w:val="00A610A7"/>
    <w:rsid w:val="00A61338"/>
    <w:rsid w:val="00A61EE5"/>
    <w:rsid w:val="00A63017"/>
    <w:rsid w:val="00A632FA"/>
    <w:rsid w:val="00A63695"/>
    <w:rsid w:val="00A66DE9"/>
    <w:rsid w:val="00A66E4F"/>
    <w:rsid w:val="00A77C70"/>
    <w:rsid w:val="00A80170"/>
    <w:rsid w:val="00A8087A"/>
    <w:rsid w:val="00A83525"/>
    <w:rsid w:val="00A85D24"/>
    <w:rsid w:val="00A86075"/>
    <w:rsid w:val="00A91243"/>
    <w:rsid w:val="00A94AED"/>
    <w:rsid w:val="00A9585C"/>
    <w:rsid w:val="00A96847"/>
    <w:rsid w:val="00AA0378"/>
    <w:rsid w:val="00AA0C44"/>
    <w:rsid w:val="00AA3569"/>
    <w:rsid w:val="00AB7865"/>
    <w:rsid w:val="00AC0A19"/>
    <w:rsid w:val="00AC0E9D"/>
    <w:rsid w:val="00AC7364"/>
    <w:rsid w:val="00AD1722"/>
    <w:rsid w:val="00AD62DC"/>
    <w:rsid w:val="00AD7049"/>
    <w:rsid w:val="00AF62A0"/>
    <w:rsid w:val="00B0019E"/>
    <w:rsid w:val="00B00BAC"/>
    <w:rsid w:val="00B017BC"/>
    <w:rsid w:val="00B0372A"/>
    <w:rsid w:val="00B13533"/>
    <w:rsid w:val="00B204D2"/>
    <w:rsid w:val="00B22069"/>
    <w:rsid w:val="00B24B39"/>
    <w:rsid w:val="00B25B72"/>
    <w:rsid w:val="00B2749E"/>
    <w:rsid w:val="00B27F3B"/>
    <w:rsid w:val="00B346F1"/>
    <w:rsid w:val="00B43391"/>
    <w:rsid w:val="00B50ED6"/>
    <w:rsid w:val="00B547F1"/>
    <w:rsid w:val="00B54E80"/>
    <w:rsid w:val="00B61ADB"/>
    <w:rsid w:val="00B6207A"/>
    <w:rsid w:val="00B6764A"/>
    <w:rsid w:val="00B76BAA"/>
    <w:rsid w:val="00B83209"/>
    <w:rsid w:val="00B8651F"/>
    <w:rsid w:val="00B93EFC"/>
    <w:rsid w:val="00B94425"/>
    <w:rsid w:val="00B97A8E"/>
    <w:rsid w:val="00BA5498"/>
    <w:rsid w:val="00BB2781"/>
    <w:rsid w:val="00BC4EEB"/>
    <w:rsid w:val="00BC4EF4"/>
    <w:rsid w:val="00BC500F"/>
    <w:rsid w:val="00BC7F27"/>
    <w:rsid w:val="00BD0FE3"/>
    <w:rsid w:val="00BD3A22"/>
    <w:rsid w:val="00BD48C7"/>
    <w:rsid w:val="00BD5344"/>
    <w:rsid w:val="00BD631C"/>
    <w:rsid w:val="00BD6443"/>
    <w:rsid w:val="00BD7F79"/>
    <w:rsid w:val="00BE6A10"/>
    <w:rsid w:val="00BE7D36"/>
    <w:rsid w:val="00BF62CB"/>
    <w:rsid w:val="00C017C7"/>
    <w:rsid w:val="00C026DC"/>
    <w:rsid w:val="00C03F3E"/>
    <w:rsid w:val="00C05278"/>
    <w:rsid w:val="00C0642C"/>
    <w:rsid w:val="00C07843"/>
    <w:rsid w:val="00C1652A"/>
    <w:rsid w:val="00C22C67"/>
    <w:rsid w:val="00C262B3"/>
    <w:rsid w:val="00C26F6D"/>
    <w:rsid w:val="00C30386"/>
    <w:rsid w:val="00C404E9"/>
    <w:rsid w:val="00C40D68"/>
    <w:rsid w:val="00C416DD"/>
    <w:rsid w:val="00C42009"/>
    <w:rsid w:val="00C440F8"/>
    <w:rsid w:val="00C44D06"/>
    <w:rsid w:val="00C46010"/>
    <w:rsid w:val="00C50030"/>
    <w:rsid w:val="00C5365B"/>
    <w:rsid w:val="00C556C9"/>
    <w:rsid w:val="00C56EFC"/>
    <w:rsid w:val="00C5797E"/>
    <w:rsid w:val="00C57F49"/>
    <w:rsid w:val="00C604C4"/>
    <w:rsid w:val="00C638F8"/>
    <w:rsid w:val="00C66DA1"/>
    <w:rsid w:val="00C71453"/>
    <w:rsid w:val="00C744AC"/>
    <w:rsid w:val="00C868A3"/>
    <w:rsid w:val="00C86D20"/>
    <w:rsid w:val="00C87361"/>
    <w:rsid w:val="00C92E35"/>
    <w:rsid w:val="00C92FE2"/>
    <w:rsid w:val="00CA0B6F"/>
    <w:rsid w:val="00CB1400"/>
    <w:rsid w:val="00CB1C98"/>
    <w:rsid w:val="00CB5CCC"/>
    <w:rsid w:val="00CC4FA4"/>
    <w:rsid w:val="00CC5B20"/>
    <w:rsid w:val="00CC723E"/>
    <w:rsid w:val="00CD1E18"/>
    <w:rsid w:val="00CD260D"/>
    <w:rsid w:val="00CD3AF7"/>
    <w:rsid w:val="00CE2441"/>
    <w:rsid w:val="00CE3E07"/>
    <w:rsid w:val="00CE4650"/>
    <w:rsid w:val="00CE6EBA"/>
    <w:rsid w:val="00CE7D29"/>
    <w:rsid w:val="00CF16E7"/>
    <w:rsid w:val="00CF4CC2"/>
    <w:rsid w:val="00CF783C"/>
    <w:rsid w:val="00D00B0B"/>
    <w:rsid w:val="00D03392"/>
    <w:rsid w:val="00D045A9"/>
    <w:rsid w:val="00D0523C"/>
    <w:rsid w:val="00D071F6"/>
    <w:rsid w:val="00D10CDD"/>
    <w:rsid w:val="00D126A9"/>
    <w:rsid w:val="00D12C34"/>
    <w:rsid w:val="00D14A47"/>
    <w:rsid w:val="00D210D0"/>
    <w:rsid w:val="00D27768"/>
    <w:rsid w:val="00D30FEC"/>
    <w:rsid w:val="00D3503E"/>
    <w:rsid w:val="00D40E31"/>
    <w:rsid w:val="00D41852"/>
    <w:rsid w:val="00D41D4A"/>
    <w:rsid w:val="00D42983"/>
    <w:rsid w:val="00D43695"/>
    <w:rsid w:val="00D443E6"/>
    <w:rsid w:val="00D4616E"/>
    <w:rsid w:val="00D47CAB"/>
    <w:rsid w:val="00D56A33"/>
    <w:rsid w:val="00D61E76"/>
    <w:rsid w:val="00D64EE6"/>
    <w:rsid w:val="00D73B50"/>
    <w:rsid w:val="00D77FB0"/>
    <w:rsid w:val="00D807A3"/>
    <w:rsid w:val="00D837D4"/>
    <w:rsid w:val="00D9161C"/>
    <w:rsid w:val="00DA0A1C"/>
    <w:rsid w:val="00DA3339"/>
    <w:rsid w:val="00DA490A"/>
    <w:rsid w:val="00DA63CC"/>
    <w:rsid w:val="00DB5177"/>
    <w:rsid w:val="00DC6B3F"/>
    <w:rsid w:val="00DD3677"/>
    <w:rsid w:val="00DD7252"/>
    <w:rsid w:val="00DE0BF7"/>
    <w:rsid w:val="00DE39F2"/>
    <w:rsid w:val="00DE5976"/>
    <w:rsid w:val="00DE6600"/>
    <w:rsid w:val="00DE71A9"/>
    <w:rsid w:val="00DE7C81"/>
    <w:rsid w:val="00DF739E"/>
    <w:rsid w:val="00E0687F"/>
    <w:rsid w:val="00E07013"/>
    <w:rsid w:val="00E104D7"/>
    <w:rsid w:val="00E11AF0"/>
    <w:rsid w:val="00E129EF"/>
    <w:rsid w:val="00E238D4"/>
    <w:rsid w:val="00E25B75"/>
    <w:rsid w:val="00E275A1"/>
    <w:rsid w:val="00E337D9"/>
    <w:rsid w:val="00E4157D"/>
    <w:rsid w:val="00E44053"/>
    <w:rsid w:val="00E447BA"/>
    <w:rsid w:val="00E47B90"/>
    <w:rsid w:val="00E51014"/>
    <w:rsid w:val="00E51592"/>
    <w:rsid w:val="00E51824"/>
    <w:rsid w:val="00E5238D"/>
    <w:rsid w:val="00E52E62"/>
    <w:rsid w:val="00E5475F"/>
    <w:rsid w:val="00E60F6C"/>
    <w:rsid w:val="00E61E6E"/>
    <w:rsid w:val="00E632DF"/>
    <w:rsid w:val="00E71B08"/>
    <w:rsid w:val="00E72E3B"/>
    <w:rsid w:val="00E74B19"/>
    <w:rsid w:val="00E75A67"/>
    <w:rsid w:val="00E75A82"/>
    <w:rsid w:val="00E812A3"/>
    <w:rsid w:val="00E845A5"/>
    <w:rsid w:val="00E921FE"/>
    <w:rsid w:val="00E945D5"/>
    <w:rsid w:val="00EA388D"/>
    <w:rsid w:val="00EA5E86"/>
    <w:rsid w:val="00EB18B6"/>
    <w:rsid w:val="00EB19A2"/>
    <w:rsid w:val="00EC5BC1"/>
    <w:rsid w:val="00EE0737"/>
    <w:rsid w:val="00EE1B95"/>
    <w:rsid w:val="00EE359F"/>
    <w:rsid w:val="00EE744F"/>
    <w:rsid w:val="00EF3344"/>
    <w:rsid w:val="00EF4456"/>
    <w:rsid w:val="00EF5217"/>
    <w:rsid w:val="00EF53D3"/>
    <w:rsid w:val="00EF7545"/>
    <w:rsid w:val="00F03AAD"/>
    <w:rsid w:val="00F109B6"/>
    <w:rsid w:val="00F13A84"/>
    <w:rsid w:val="00F16B83"/>
    <w:rsid w:val="00F176FE"/>
    <w:rsid w:val="00F22A66"/>
    <w:rsid w:val="00F27468"/>
    <w:rsid w:val="00F3085E"/>
    <w:rsid w:val="00F30C2B"/>
    <w:rsid w:val="00F33D4C"/>
    <w:rsid w:val="00F34262"/>
    <w:rsid w:val="00F40640"/>
    <w:rsid w:val="00F437F4"/>
    <w:rsid w:val="00F443BC"/>
    <w:rsid w:val="00F44598"/>
    <w:rsid w:val="00F56CFF"/>
    <w:rsid w:val="00F61473"/>
    <w:rsid w:val="00F61811"/>
    <w:rsid w:val="00F644B0"/>
    <w:rsid w:val="00F65A38"/>
    <w:rsid w:val="00F65FD8"/>
    <w:rsid w:val="00F83E05"/>
    <w:rsid w:val="00F90320"/>
    <w:rsid w:val="00F9062F"/>
    <w:rsid w:val="00F93088"/>
    <w:rsid w:val="00F948B4"/>
    <w:rsid w:val="00F954A1"/>
    <w:rsid w:val="00FA1E2A"/>
    <w:rsid w:val="00FA4DCE"/>
    <w:rsid w:val="00FA69CA"/>
    <w:rsid w:val="00FB157A"/>
    <w:rsid w:val="00FB517F"/>
    <w:rsid w:val="00FB5779"/>
    <w:rsid w:val="00FC291B"/>
    <w:rsid w:val="00FC548D"/>
    <w:rsid w:val="00FC679C"/>
    <w:rsid w:val="00FD11EF"/>
    <w:rsid w:val="00FD2313"/>
    <w:rsid w:val="00FD470A"/>
    <w:rsid w:val="00FD7C36"/>
    <w:rsid w:val="00F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142C"/>
  <w15:chartTrackingRefBased/>
  <w15:docId w15:val="{3DEC02F8-DB80-4953-B3FF-75ACEDAA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895"/>
    <w:pPr>
      <w:ind w:left="720"/>
      <w:contextualSpacing/>
    </w:pPr>
  </w:style>
  <w:style w:type="character" w:customStyle="1" w:styleId="normaltextrun">
    <w:name w:val="normaltextrun"/>
    <w:basedOn w:val="DefaultParagraphFont"/>
    <w:rsid w:val="00BD48C7"/>
  </w:style>
  <w:style w:type="paragraph" w:customStyle="1" w:styleId="paragraph">
    <w:name w:val="paragraph"/>
    <w:basedOn w:val="Normal"/>
    <w:rsid w:val="009C2A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C2ADB"/>
  </w:style>
  <w:style w:type="paragraph" w:styleId="BalloonText">
    <w:name w:val="Balloon Text"/>
    <w:basedOn w:val="Normal"/>
    <w:link w:val="BalloonTextChar"/>
    <w:uiPriority w:val="99"/>
    <w:semiHidden/>
    <w:unhideWhenUsed/>
    <w:rsid w:val="008F5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24B"/>
    <w:rPr>
      <w:rFonts w:ascii="Segoe UI" w:hAnsi="Segoe UI" w:cs="Segoe UI"/>
      <w:sz w:val="18"/>
      <w:szCs w:val="18"/>
    </w:rPr>
  </w:style>
  <w:style w:type="character" w:styleId="CommentReference">
    <w:name w:val="annotation reference"/>
    <w:basedOn w:val="DefaultParagraphFont"/>
    <w:uiPriority w:val="99"/>
    <w:semiHidden/>
    <w:unhideWhenUsed/>
    <w:rsid w:val="0033151C"/>
    <w:rPr>
      <w:sz w:val="16"/>
      <w:szCs w:val="16"/>
    </w:rPr>
  </w:style>
  <w:style w:type="paragraph" w:styleId="CommentText">
    <w:name w:val="annotation text"/>
    <w:basedOn w:val="Normal"/>
    <w:link w:val="CommentTextChar"/>
    <w:uiPriority w:val="99"/>
    <w:semiHidden/>
    <w:unhideWhenUsed/>
    <w:rsid w:val="0033151C"/>
    <w:pPr>
      <w:spacing w:line="240" w:lineRule="auto"/>
    </w:pPr>
    <w:rPr>
      <w:sz w:val="20"/>
      <w:szCs w:val="20"/>
    </w:rPr>
  </w:style>
  <w:style w:type="character" w:customStyle="1" w:styleId="CommentTextChar">
    <w:name w:val="Comment Text Char"/>
    <w:basedOn w:val="DefaultParagraphFont"/>
    <w:link w:val="CommentText"/>
    <w:uiPriority w:val="99"/>
    <w:semiHidden/>
    <w:rsid w:val="0033151C"/>
    <w:rPr>
      <w:sz w:val="20"/>
      <w:szCs w:val="20"/>
    </w:rPr>
  </w:style>
  <w:style w:type="paragraph" w:styleId="CommentSubject">
    <w:name w:val="annotation subject"/>
    <w:basedOn w:val="CommentText"/>
    <w:next w:val="CommentText"/>
    <w:link w:val="CommentSubjectChar"/>
    <w:uiPriority w:val="99"/>
    <w:semiHidden/>
    <w:unhideWhenUsed/>
    <w:rsid w:val="0033151C"/>
    <w:rPr>
      <w:b/>
      <w:bCs/>
    </w:rPr>
  </w:style>
  <w:style w:type="character" w:customStyle="1" w:styleId="CommentSubjectChar">
    <w:name w:val="Comment Subject Char"/>
    <w:basedOn w:val="CommentTextChar"/>
    <w:link w:val="CommentSubject"/>
    <w:uiPriority w:val="99"/>
    <w:semiHidden/>
    <w:rsid w:val="0033151C"/>
    <w:rPr>
      <w:b/>
      <w:bCs/>
      <w:sz w:val="20"/>
      <w:szCs w:val="20"/>
    </w:rPr>
  </w:style>
  <w:style w:type="paragraph" w:styleId="Revision">
    <w:name w:val="Revision"/>
    <w:hidden/>
    <w:uiPriority w:val="99"/>
    <w:semiHidden/>
    <w:rsid w:val="0033151C"/>
    <w:pPr>
      <w:spacing w:after="0" w:line="240" w:lineRule="auto"/>
    </w:pPr>
  </w:style>
  <w:style w:type="character" w:customStyle="1" w:styleId="fontstyle01">
    <w:name w:val="fontstyle01"/>
    <w:basedOn w:val="DefaultParagraphFont"/>
    <w:rsid w:val="003C1FC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7870">
      <w:bodyDiv w:val="1"/>
      <w:marLeft w:val="0"/>
      <w:marRight w:val="0"/>
      <w:marTop w:val="0"/>
      <w:marBottom w:val="0"/>
      <w:divBdr>
        <w:top w:val="none" w:sz="0" w:space="0" w:color="auto"/>
        <w:left w:val="none" w:sz="0" w:space="0" w:color="auto"/>
        <w:bottom w:val="none" w:sz="0" w:space="0" w:color="auto"/>
        <w:right w:val="none" w:sz="0" w:space="0" w:color="auto"/>
      </w:divBdr>
    </w:div>
    <w:div w:id="17972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0BC179514B3F4CABE3B6897936F002" ma:contentTypeVersion="11" ma:contentTypeDescription="Create a new document." ma:contentTypeScope="" ma:versionID="32e4f424159d9bc282a2488a09fa8986">
  <xsd:schema xmlns:xsd="http://www.w3.org/2001/XMLSchema" xmlns:xs="http://www.w3.org/2001/XMLSchema" xmlns:p="http://schemas.microsoft.com/office/2006/metadata/properties" xmlns:ns2="c084dc55-4be0-401a-a22f-b61ec683629c" xmlns:ns3="534fb80c-297d-445d-b1e5-7ce816bda46d" targetNamespace="http://schemas.microsoft.com/office/2006/metadata/properties" ma:root="true" ma:fieldsID="f9be3b76e1b08ad21d09142f61f42b47" ns2:_="" ns3:_="">
    <xsd:import namespace="c084dc55-4be0-401a-a22f-b61ec683629c"/>
    <xsd:import namespace="534fb80c-297d-445d-b1e5-7ce816bd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dc55-4be0-401a-a22f-b61ec6836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007a1d-b82c-46ff-b1ec-8f644dc2c4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fb80c-297d-445d-b1e5-7ce816bda4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1b32d-99d4-4d59-868a-906efec9434a}" ma:internalName="TaxCatchAll" ma:showField="CatchAllData" ma:web="534fb80c-297d-445d-b1e5-7ce816bda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84dc55-4be0-401a-a22f-b61ec683629c">
      <Terms xmlns="http://schemas.microsoft.com/office/infopath/2007/PartnerControls"/>
    </lcf76f155ced4ddcb4097134ff3c332f>
    <TaxCatchAll xmlns="534fb80c-297d-445d-b1e5-7ce816bda46d" xsi:nil="true"/>
  </documentManagement>
</p:properties>
</file>

<file path=customXml/itemProps1.xml><?xml version="1.0" encoding="utf-8"?>
<ds:datastoreItem xmlns:ds="http://schemas.openxmlformats.org/officeDocument/2006/customXml" ds:itemID="{0EF2222D-30E9-475A-B080-D3853165153C}">
  <ds:schemaRefs>
    <ds:schemaRef ds:uri="http://schemas.openxmlformats.org/officeDocument/2006/bibliography"/>
  </ds:schemaRefs>
</ds:datastoreItem>
</file>

<file path=customXml/itemProps2.xml><?xml version="1.0" encoding="utf-8"?>
<ds:datastoreItem xmlns:ds="http://schemas.openxmlformats.org/officeDocument/2006/customXml" ds:itemID="{CDC47A2F-FF3A-45E1-A76A-AD52E4712BF1}"/>
</file>

<file path=customXml/itemProps3.xml><?xml version="1.0" encoding="utf-8"?>
<ds:datastoreItem xmlns:ds="http://schemas.openxmlformats.org/officeDocument/2006/customXml" ds:itemID="{8ABCE977-5A92-4FE2-A9AF-C04C03C6C1FA}">
  <ds:schemaRefs>
    <ds:schemaRef ds:uri="http://schemas.microsoft.com/sharepoint/v3/contenttype/forms"/>
  </ds:schemaRefs>
</ds:datastoreItem>
</file>

<file path=customXml/itemProps4.xml><?xml version="1.0" encoding="utf-8"?>
<ds:datastoreItem xmlns:ds="http://schemas.openxmlformats.org/officeDocument/2006/customXml" ds:itemID="{5DCB908F-4D1B-4847-B392-678B4F29BA1B}">
  <ds:schemaRefs>
    <ds:schemaRef ds:uri="http://schemas.microsoft.com/office/2006/metadata/properties"/>
    <ds:schemaRef ds:uri="http://schemas.microsoft.com/office/infopath/2007/PartnerControls"/>
    <ds:schemaRef ds:uri="04a8b233-3068-47c8-9915-4ab88cc211d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Commissioner Robert Brodnik</dc:creator>
  <cp:keywords/>
  <dc:description/>
  <cp:lastModifiedBy>Judge Yvette Durant</cp:lastModifiedBy>
  <cp:revision>2</cp:revision>
  <cp:lastPrinted>2025-03-04T22:06:00Z</cp:lastPrinted>
  <dcterms:created xsi:type="dcterms:W3CDTF">2026-05-14T00:37:00Z</dcterms:created>
  <dcterms:modified xsi:type="dcterms:W3CDTF">2026-05-14T00:37:00Z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0x010100800BC179514B3F4CABE3B6897936F002</vt:lpwstr>
  </property>
</Properties>
</file>